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em contra corrente de tiragem induzida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eco-ATC-1045A</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3,062.06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1.6;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induzida montado e testado na fábrica, completo com ventilador, serpentina, louvers, acessórios e suportes de içamento</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Os ventiladores devem ser do tipo axial de alta eficiência com construção de pás largas em alumínio. Cada ventilador deve ser balanceado dinamicamente e instalado em um bocal com mínima folga com entrada de ar tipo venturi para obter a máxima eficiência do ventilador.</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All coil rows shall feature extended surface fins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Louvers de entrada de ar</w:t>
                  </w:r>
                </w:p>
                <w:p>
                  <w:pPr>
                    <w:pStyle w:val="level4"/>
                    <w:jc w:val="left"/>
                    <w:rPr>
                      <w:rFonts w:ascii="Calibri'" w:hAnsi="Calibri'" w:cs="Calibri'"/>
                      <w:sz w:val="24"/>
                    </w:rPr>
                  </w:pPr>
                  <w:r>
                    <w:rPr>
                      <w:rFonts w:ascii="Calibri'" w:hAnsi="Calibri'" w:cs="Calibri'"/>
                      <w:sz w:val="24"/>
                    </w:rPr>
                    <w:t>1. Os louvers de entrada de ar devem ser construídos com Policloreto de Vinila (PVC) com inibidor UV e incorporar um quadro que permite sua fácil remoção para acesso a toda a área da bacia para manutenção. Os louvers devem ter no mínimo duas mudanças na direção do ar e devem ser não planos para evitar respingos, eliminar a entrada de luz solar direta e reduzir a entrada de detritos na bacia. Air inlet louvers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J.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K.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correias em V tipo “Power Band” e com buchas cônicas QD, projetado para 150% da potência nominal do motor. O material da correia deve ser neoprene reforçado com poliéster e projetado especificamente para o serviço em equipamentos evaporativos. A polia motora deve ser de liga de alumínio. O ajuste da correia deve ser realizado pela parte externa do equipamento.</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O eixo do ventilador deve ser de aço maciço, retificado e polido. A superfície exposta deve ser revestida contra corrosão.</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 porta de acesso deve ser articulada e localizada na seção do ventilador para o acesso ao sistema de distribuição de água e ao acionamento do ventilador.</w:t>
                  </w:r>
                </w:p>
                <w:p>
                  <w:pPr>
                    <w:pStyle w:val="level3"/>
                    <w:jc w:val="left"/>
                    <w:rPr>
                      <w:rFonts w:ascii="Calibri'" w:hAnsi="Calibri'" w:cs="Calibri'"/>
                      <w:sz w:val="24"/>
                    </w:rPr>
                  </w:pPr>
                  <w:r>
                    <w:rPr>
                      <w:rFonts w:ascii="Calibri'" w:hAnsi="Calibri'" w:cs="Calibri'"/>
                      <w:sz w:val="24"/>
                    </w:rPr>
                    <w:t>B. Bacia</w:t>
                  </w:r>
                </w:p>
                <w:p>
                  <w:pPr>
                    <w:pStyle w:val="level4"/>
                    <w:jc w:val="left"/>
                    <w:rPr>
                      <w:rFonts w:ascii="Calibri'" w:hAnsi="Calibri'" w:cs="Calibri'"/>
                      <w:sz w:val="24"/>
                    </w:rPr>
                  </w:pPr>
                  <w:r>
                    <w:rPr>
                      <w:rFonts w:ascii="Calibri'" w:hAnsi="Calibri'" w:cs="Calibri'"/>
                      <w:sz w:val="24"/>
                    </w:rPr>
                    <w:t>1. Os louvers devem estar em todos os quatro (4) lados da unidade para o acesso a bacia.</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