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de descarga vertical com tiragem por insuflamento mecânico de circuito fechado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PMCQ-1034</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ter capacidade de 3,029.83 (kW) a 35.0° C de condensação e um bulbo úmido de entrada de projeto de 25.6° C.</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0.67;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condensador evaporativo em contra corrente de tiragem por insuflamento montado e testado na fábrica</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de água resfriada (incluindo suportes verticais, estruturas de louver de entrada de ar e painéis até a emenda de içamento) e o módulo superior, os canais e os suportes de ângulo devem ser construídos com aço galvanizado a quente em chapa grossa. Todo o aço galvanizado deve ser revestido com no mínimo 725 grams de zinco por medidor quadrado da área (designação Z-725 Hot-Dip Galvanized Steel). Durante a fabricação, todas as bordas do painel devem ser revestidas com um composto rico em zinco puro a 95%.</w:t>
                  </w:r>
                </w:p>
                <w:p>
                  <w:pPr>
                    <w:pStyle w:val="level4"/>
                    <w:jc w:val="left"/>
                    <w:rPr>
                      <w:rFonts w:ascii="Calibri'" w:hAnsi="Calibri'" w:cs="Calibri'"/>
                      <w:sz w:val="24"/>
                    </w:rPr>
                  </w:pPr>
                  <w:r>
                    <w:rPr>
                      <w:rFonts w:ascii="Calibri'" w:hAnsi="Calibri'" w:cs="Calibri'"/>
                      <w:sz w:val="24"/>
                    </w:rPr>
                    <w:t>2. Todos os painéis, incluindo os bocais, os suportes e as volutas do ventilador, devem ser construídos com aço galvanizado a quente em chapa grossa. Todo o aço galvanizado deve ser revestido com no mínimo 725 grams de zinco por medidor quadrado da área (designação Z-725 Hot-Dip Galvanized Steel). Durante a fabricação, todas as bordas do painel de aço galvanizado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A unidade deve ser fornecida com ventiladores supersilenciosos. Fan(s) devem ser de hélice axial de alta eficiência com construção de pá de poliéster reforçado com fibra (FRP) não corrosiva. Fan(s) devem ser resistentes e utilizar um projeto de pá de varredura para frente para maior redução de ruídos. Cada ventilador deve ser equilibrado dinamicamente e instalado em uma tampa cuidadosamente montada com entrada de ar venturi para obter a máxima eficiência do ventilador.</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Heat transfer coil shall be elliptical tubes of prime surface steel, encased in steel framework with entire assembly hot-dip galvanized after fabrication. The coil assembly shall be designed with sloping tubes for liquid drainage. Coil shall have design pressure of 24 Bar and shall be in compliance with Pressure Equipment Directive (2014/68/EU), Refrigeration Piping and Heat Transfer Components. The coil assembly shall be strength tested in accordance with Pressure Equipment Directive (2014/68/EU) and subsequently leak tested using air under water.</w:t>
                  </w:r>
                </w:p>
                <w:p>
                  <w:pPr>
                    <w:pStyle w:val="level4"/>
                    <w:jc w:val="left"/>
                    <w:rPr>
                      <w:rFonts w:ascii="Calibri'" w:hAnsi="Calibri'" w:cs="Calibri'"/>
                      <w:sz w:val="24"/>
                    </w:rPr>
                  </w:pPr>
                  <w:r>
                    <w:rPr>
                      <w:rFonts w:ascii="Calibri'" w:hAnsi="Calibri'" w:cs="Calibri'"/>
                      <w:sz w:val="24"/>
                    </w:rPr>
                    <w:t>2.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J.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 em V e com buchas cônicas QD, projetado para 150% da potência da placa de identificação do motor. O material da correia deve ser neoprene reforçado de poliéster e projetado especificamente para o serviço em equipamentos evaporativos. O ajuste da correia deve ser realizado a partir da parte externa da unidade.</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Fan shaft shall be solid, ground and polished steel. Exposed surface shall be coated with rust preventative.</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As telas do ventilador devem ser removíveis para acesso à transmissão e ao motor do ventilador.</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