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 com tiragem por insuflamento mecânico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LSWA 116A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41.3 LPS de água entrando a 37.8° C e saindo a 32.2° C em um bulbo úmido de entrada de projeto de 25.6° C com perda de carga na serpentina menor que 23.99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por insuflamento montado e testado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painéis, incluindo os bocais, os suportes e as volutas do ventilador, devem ser construídos com aço galvanizado a quente em chapa grossa.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de aço carbono, envoltos em armação de aço com o conjunto inteiro galvanizado a quente após a fabricação. O conjunto da serpentina deve ser projetado com tubos inclinados para drenagem de líquido e pressão de ar para teste 1500 kPa sob a água. A serpentina deve estar em conformidade com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L.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tubular, moído e polido com mancais forjados. A superfície exposta deve ser revestida com oxidação preventiva.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