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ook w:val="00A0"/>
      </w:tblPr>
      <w:tblGrid>
        <w:gridCol w:w="8838"/>
      </w:tblGrid>
      <w:tr w:rsidR="006145B9">
        <w:trPr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B9" w:rsidRDefault="006145B9">
            <w:pPr>
              <w:pStyle w:val="level0"/>
              <w:rPr>
                <w:rFonts w:ascii="Calibri'" w:hAnsi="Calibri'" w:cs="Calibri'"/>
              </w:rPr>
            </w:pPr>
            <w:r>
              <w:rPr>
                <w:rFonts w:ascii="Calibri'" w:hAnsi="Calibri'" w:cs="Calibri'"/>
              </w:rPr>
              <w:t>SEÇÃO 23 65 00</w:t>
            </w:r>
          </w:p>
        </w:tc>
      </w:tr>
      <w:tr w:rsidR="006145B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  <w:tblLook w:val="00A0"/>
            </w:tblPr>
            <w:tblGrid>
              <w:gridCol w:w="8838"/>
            </w:tblGrid>
            <w:tr w:rsidR="006145B9">
              <w:trPr>
                <w:tblCellSpacing w:w="0" w:type="dxa"/>
                <w:jc w:val="center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5B9" w:rsidRDefault="006145B9">
                  <w:pPr>
                    <w:pStyle w:val="level0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RESFRIADORES DE CIRCUITO FECHADO</w:t>
                  </w:r>
                </w:p>
                <w:p w:rsidR="006145B9" w:rsidRDefault="006145B9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1 - GERAL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1.1 DOCUMENTOS RELACIONADOS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1.2 RESUMO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Essa Seção inclui o resfriador de circuito fechado de descarga vertical, com tiragem induzida montado e testado na fábrica.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1.3 DOCUMENTOS PARA APROVAÇÃO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Dimensões do equipamento montado.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Peso e distribuição de carga.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Espaços necessários para manutenção e operação.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4. Dimensões e posições de conexões hidráulicas e fiação.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Dados de operação e manutenção: Cada equipamento deve incluir manual de operação e manutenção.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1.4 GARANTIA DA QUALIDADE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Verificação de desempenho: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O equipamento deve atender ou exceder a eficiência energética conforme a ASHRAE 90.1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1.5 GARANTIA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3. Serpentina de transferência de calor: O período de garantia deve ser de Dois (2) ano a partir da data de envio da unidade da fábrica.</w:t>
                  </w:r>
                </w:p>
                <w:p w:rsidR="006145B9" w:rsidRDefault="006145B9">
                  <w:pPr>
                    <w:pStyle w:val="level1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PART 2 - PRODUTOS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2.1 FABRICANTES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Fabricantes: Sujeito ao cumprimento dos requisitos, forneça resfriadores de circuito fechado fabricados por uma das opções a seguir: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 xml:space="preserve">1. EVAPCO Modelo ESWA 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Substituto aprovado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2.2 PERFORMANCE TÉRMICA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Cada equipamento deve ser capaz de resfriar      LPS de água entrando a      ° C e saindo a      ° C em um bolbo húmido de entrada de projeto de    ° C com perda de carga na serpentina menor que      kPa.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2.3 CONFORMIDADE COM IBC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A estrutura da unidade deve ser projetada, analisada e construída de acordo com a mais recente edição do International Building Code (IBC) para: IP = 1.0, SDS = 0.67; z/h = 0, P = 5.7 kPa.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2.4 COMPONENTES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Descrição: resfriador de circuito fechado em contra corrente de tiragem induzida montado e testado na fábrica, completo com ventilador, serpentina, enchimento, louvers, acessórios e suportes de içamento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Materiais de construção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componentes de bacia da água resfriada, incluindo suportes verticais, quadros dos louvers de entrada de ar e painéis até a orelha de içamento, devem ser construídos com chapa de boa espessura de aço galvanizado a quente.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O módulo superior, o tubo de distribuição e os suportes angulares devem ser construídos com aço galvanizado a quente e em chapa grossa. O bocal e a proteção do ventilador devem ser construídas com aço galvanizado. Todo o aço galvanizado deve ser revestido com no mínimo,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Ventiladores: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ventiladores devem ser do tipo axial de alta eficiência com construção de pás largas em alumínio. Cada ventilador deve ser balanceado dinamicamente e instalado em um bocal com mínima folga com entrada de ar tipo venturi para obter a máxima eficiência do ventilador.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Eliminadores de gotas</w:t>
                  </w:r>
                </w:p>
                <w:p w:rsidR="006145B9" w:rsidRPr="00157343" w:rsidRDefault="006145B9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</w:t>
                  </w:r>
                  <w:r w:rsidRPr="00157343">
                    <w:rPr>
                      <w:rFonts w:ascii="Calibri'" w:hAnsi="Calibri'" w:cs="Calibri'"/>
                      <w:lang w:val="en-GB"/>
                    </w:rPr>
                    <w:t>Drift eliminators shall be self-extinguishing, have a flame spread of less than 25 under ASTM E84, and shall be resistant to rot, decay and biological attack.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Sistema de distribuição de água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bicos de aspersão devem ser de ABS moldado de precisão com orifício grande roscado em tubulação de derivação com anel de lodo interno para eliminar o entupimento. O tobo distribuidor central e as ramificações devem ser de policloreto de polivinila (PVC) Schedule 40 para resistência à corrosão.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F. Superfície de troca térmica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serpentina de transferência de calor deve ter tubos elípticos bem espaçados de aço de superfície nobre, envoltos em armação de aço com o conjunto inteiro galvanizado a quente após a fabricação. O conjunto da serpentina deve ser projetado com tubos inclinados para drenagem líquida e pressão de ar testada para 1500 kPa. Pressure Equipment Directive (2014/68/EU).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G. Bomba de recirculação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H. Sangria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unidade deve ter uma linha de sangria de água de purga com uma válvula manual ajustável instalada.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I. Louvers de entrada de ar</w:t>
                  </w:r>
                </w:p>
                <w:p w:rsidR="006145B9" w:rsidRPr="00157343" w:rsidRDefault="006145B9">
                  <w:pPr>
                    <w:pStyle w:val="level4"/>
                    <w:rPr>
                      <w:rFonts w:ascii="Calibri'" w:hAnsi="Calibri'" w:cs="Calibri'"/>
                      <w:lang w:val="en-GB"/>
                    </w:rPr>
                  </w:pPr>
                  <w:r>
                    <w:rPr>
                      <w:rFonts w:ascii="Calibri'" w:hAnsi="Calibri'" w:cs="Calibri'"/>
                    </w:rPr>
                    <w:t xml:space="preserve">1. Os louvers de entrada de ar devem ser construídos com Policloreto de Vinila (PVC) com inibidor UV e incorporar um quadro que permite sua fácil remoção para acesso a toda a área da bacia para manutenção. Os louvers devem ter no mínimo duas mudanças na direção do ar e devem ser não planos para evitar respingos, eliminar a entrada de luz solar direta e reduzir a entrada de detritos na bacia. </w:t>
                  </w:r>
                  <w:r w:rsidRPr="00157343">
                    <w:rPr>
                      <w:rFonts w:ascii="Calibri'" w:hAnsi="Calibri'" w:cs="Calibri'"/>
                      <w:lang w:val="en-GB"/>
                    </w:rPr>
                    <w:t>Air inlet louvers shall be self-extinguishing, have a flame spread of less than 25 under ASTM E84, and shall be resistant to rot, decay and biological attack.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J. Conjunto da válvula boia de reposição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conjunto da válvula boia de reposição deve ser composto de uma válvula de latão e uma boia de plástico ajustável.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K. Filtro da bacia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Todos os filtros da bacia devem ser construídos em Aço inoxidável tipo 304com grande área de telas perfuradas removíveis.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2.5 MOTORES E TRANSMISSÕES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Os requisitos gerais para motores estão especificados na divisão 23 da seção "Motores"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Motor do ventilador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Acionamento do ventilador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acionamento do ventilador deve ser por correias em V tipo “Power Band” e com buchas cônicas QD, projetado para 150% da potência nominal do motor. O material da correia deve ser neoprene reforçado com poliéster e projetado especificamente para o serviço em equipamentos evaporativos. A polia motora deve ser de liga de alumínio. O ajuste da correia deve ser realizado pela parte externa do equipamento.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D. Eixo do ventilador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 eixo do ventilador deve ser de aço maciço, retificado e polido. A superfície exposta deve ser revestida contra corrosão.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E. Mancais do ventilador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mancais do ventilador devem ser do tipo de esferas auto alinháveis e próprio para trabalhos pesados, com linhas de lubrificação estendidas localizados próxima à porta de acesso. Os mancais devem ser projetados para uma vida útil mínima L-10 de 100.000 horas.</w:t>
                  </w:r>
                </w:p>
                <w:p w:rsidR="006145B9" w:rsidRDefault="006145B9">
                  <w:pPr>
                    <w:pStyle w:val="level2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2.6 ACESSO PARA MANUTENÇÃO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A. Seção do ventilador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A porta de acesso deve ser articulada e localizada na seção do ventilador para o acesso ao sistema de distribuição de água e ao acionamento do ventilador. A abertura da tampa do motor deve ser articulada para acesso ao motor.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B. Bacia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Os louvers devem estar em todos os quatro (4) lados da unidade para o acesso a bacia.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2. A unidade deve ser fornecida com painéis removíveis pela serpentina para permitir uma fácil inspeção da serpentina e da bacia sem entrar na unidade.</w:t>
                  </w:r>
                </w:p>
                <w:p w:rsidR="006145B9" w:rsidRDefault="006145B9">
                  <w:pPr>
                    <w:pStyle w:val="level3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C. Plataforma de trabalho interna</w:t>
                  </w:r>
                </w:p>
                <w:p w:rsidR="006145B9" w:rsidRDefault="006145B9">
                  <w:pPr>
                    <w:pStyle w:val="level4"/>
                    <w:rPr>
                      <w:rFonts w:ascii="Calibri'" w:hAnsi="Calibri'" w:cs="Calibri'"/>
                    </w:rPr>
                  </w:pPr>
                  <w:r>
                    <w:rPr>
                      <w:rFonts w:ascii="Calibri'" w:hAnsi="Calibri'" w:cs="Calibri'"/>
                    </w:rPr>
                    <w:t>1. Uma plataforma de trabalho interna deve oferecer acesso fácil aos ventiladores, correias, motores, polias, mancais, todas as partes mecânicas e sistema de distribuição de água. O enchimento deve ser um meio aceitável para acessar esses componentes.</w:t>
                  </w:r>
                </w:p>
              </w:tc>
            </w:tr>
          </w:tbl>
          <w:p w:rsidR="006145B9" w:rsidRDefault="006145B9"/>
        </w:tc>
      </w:tr>
    </w:tbl>
    <w:p w:rsidR="006145B9" w:rsidRDefault="006145B9"/>
    <w:sectPr w:rsidR="006145B9" w:rsidSect="00B2751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'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516"/>
    <w:rsid w:val="000727F1"/>
    <w:rsid w:val="00157343"/>
    <w:rsid w:val="006145B9"/>
    <w:rsid w:val="00B27516"/>
    <w:rsid w:val="00F8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1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uiPriority w:val="99"/>
    <w:rsid w:val="00B27516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vel1">
    <w:name w:val="level1"/>
    <w:basedOn w:val="Normal"/>
    <w:uiPriority w:val="99"/>
    <w:rsid w:val="00B27516"/>
    <w:pPr>
      <w:spacing w:before="100" w:beforeAutospacing="1" w:after="100" w:afterAutospacing="1"/>
    </w:pPr>
  </w:style>
  <w:style w:type="paragraph" w:customStyle="1" w:styleId="level10">
    <w:name w:val="level10"/>
    <w:basedOn w:val="Normal"/>
    <w:uiPriority w:val="99"/>
    <w:rsid w:val="00B27516"/>
    <w:pPr>
      <w:spacing w:before="100" w:beforeAutospacing="1" w:after="100" w:afterAutospacing="1"/>
      <w:ind w:left="2700"/>
    </w:pPr>
  </w:style>
  <w:style w:type="paragraph" w:customStyle="1" w:styleId="level2">
    <w:name w:val="level2"/>
    <w:basedOn w:val="Normal"/>
    <w:uiPriority w:val="99"/>
    <w:rsid w:val="00B27516"/>
    <w:pPr>
      <w:spacing w:before="100" w:beforeAutospacing="1" w:after="100" w:afterAutospacing="1"/>
      <w:ind w:left="300"/>
    </w:pPr>
  </w:style>
  <w:style w:type="paragraph" w:customStyle="1" w:styleId="level3">
    <w:name w:val="level3"/>
    <w:basedOn w:val="Normal"/>
    <w:uiPriority w:val="99"/>
    <w:rsid w:val="00B27516"/>
    <w:pPr>
      <w:spacing w:before="100" w:beforeAutospacing="1" w:after="100" w:afterAutospacing="1"/>
      <w:ind w:left="600"/>
    </w:pPr>
  </w:style>
  <w:style w:type="paragraph" w:customStyle="1" w:styleId="level4">
    <w:name w:val="level4"/>
    <w:basedOn w:val="Normal"/>
    <w:uiPriority w:val="99"/>
    <w:rsid w:val="00B27516"/>
    <w:pPr>
      <w:spacing w:before="100" w:beforeAutospacing="1" w:after="100" w:afterAutospacing="1"/>
      <w:ind w:left="900"/>
    </w:pPr>
  </w:style>
  <w:style w:type="paragraph" w:customStyle="1" w:styleId="level5">
    <w:name w:val="level5"/>
    <w:basedOn w:val="Normal"/>
    <w:uiPriority w:val="99"/>
    <w:rsid w:val="00B27516"/>
    <w:pPr>
      <w:spacing w:before="100" w:beforeAutospacing="1" w:after="100" w:afterAutospacing="1"/>
      <w:ind w:left="1200"/>
    </w:pPr>
  </w:style>
  <w:style w:type="paragraph" w:customStyle="1" w:styleId="level6">
    <w:name w:val="level6"/>
    <w:basedOn w:val="Normal"/>
    <w:uiPriority w:val="99"/>
    <w:rsid w:val="00B27516"/>
    <w:pPr>
      <w:spacing w:before="100" w:beforeAutospacing="1" w:after="100" w:afterAutospacing="1"/>
      <w:ind w:left="1500"/>
    </w:pPr>
  </w:style>
  <w:style w:type="paragraph" w:customStyle="1" w:styleId="level7">
    <w:name w:val="level7"/>
    <w:basedOn w:val="Normal"/>
    <w:uiPriority w:val="99"/>
    <w:rsid w:val="00B27516"/>
    <w:pPr>
      <w:spacing w:before="100" w:beforeAutospacing="1" w:after="100" w:afterAutospacing="1"/>
      <w:ind w:left="1800"/>
    </w:pPr>
  </w:style>
  <w:style w:type="paragraph" w:customStyle="1" w:styleId="level8">
    <w:name w:val="level8"/>
    <w:basedOn w:val="Normal"/>
    <w:uiPriority w:val="99"/>
    <w:rsid w:val="00B27516"/>
    <w:pPr>
      <w:spacing w:before="100" w:beforeAutospacing="1" w:after="100" w:afterAutospacing="1"/>
      <w:ind w:left="2100"/>
    </w:pPr>
  </w:style>
  <w:style w:type="paragraph" w:customStyle="1" w:styleId="level9">
    <w:name w:val="level9"/>
    <w:basedOn w:val="Normal"/>
    <w:uiPriority w:val="99"/>
    <w:rsid w:val="00B27516"/>
    <w:pPr>
      <w:spacing w:before="100" w:beforeAutospacing="1" w:after="100" w:afterAutospacing="1"/>
      <w:ind w:left="2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1488</Words>
  <Characters>8036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António</cp:lastModifiedBy>
  <cp:revision>2</cp:revision>
  <dcterms:created xsi:type="dcterms:W3CDTF">2020-05-13T16:28:00Z</dcterms:created>
  <dcterms:modified xsi:type="dcterms:W3CDTF">2020-05-13T16:28:00Z</dcterms:modified>
</cp:coreProperties>
</file>