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ook w:val="00A0"/>
      </w:tblPr>
      <w:tblGrid>
        <w:gridCol w:w="8838"/>
      </w:tblGrid>
      <w:tr w:rsidR="005A5350">
        <w:trPr>
          <w:tblCellSpacing w:w="0" w:type="dxa"/>
        </w:trPr>
        <w:tc>
          <w:tcPr>
            <w:tcW w:w="4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350" w:rsidRDefault="005A5350">
            <w:pPr>
              <w:pStyle w:val="level0"/>
              <w:rPr>
                <w:rFonts w:ascii="Calibri'" w:hAnsi="Calibri'" w:cs="Calibri'"/>
              </w:rPr>
            </w:pPr>
            <w:r>
              <w:rPr>
                <w:rFonts w:ascii="Calibri'" w:hAnsi="Calibri'" w:cs="Calibri'"/>
              </w:rPr>
              <w:t>SEÇÃO 23 65 00</w:t>
            </w:r>
          </w:p>
        </w:tc>
      </w:tr>
      <w:tr w:rsidR="005A535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CellSpacing w:w="0" w:type="dxa"/>
              <w:tblLook w:val="00A0"/>
            </w:tblPr>
            <w:tblGrid>
              <w:gridCol w:w="8838"/>
            </w:tblGrid>
            <w:tr w:rsidR="005A5350">
              <w:trPr>
                <w:tblCellSpacing w:w="0" w:type="dxa"/>
                <w:jc w:val="center"/>
              </w:trPr>
              <w:tc>
                <w:tcPr>
                  <w:tcW w:w="4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5350" w:rsidRDefault="005A5350">
                  <w:pPr>
                    <w:pStyle w:val="level0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TORRES DE ARREFECIMENTO AT</w:t>
                  </w:r>
                </w:p>
                <w:p w:rsidR="005A5350" w:rsidRDefault="005A5350">
                  <w:pPr>
                    <w:pStyle w:val="level1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PART 1 - GERAL</w:t>
                  </w:r>
                </w:p>
                <w:p w:rsidR="005A5350" w:rsidRDefault="005A5350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1.1 DOCUMENTOS RELACIONADOS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Desenhos e disposições gerais do contrato, incluindo condições gerais e suplementares e seções de especificação da divisão 01, aplicam-se a esta Seção.</w:t>
                  </w:r>
                </w:p>
                <w:p w:rsidR="005A5350" w:rsidRDefault="005A5350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1.2 RESUMO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Essa Seção inclui a torre de resfriamento de descarga vertical com tiragem induzida mecânica de circuito aberto, montada e testada na fábrica.</w:t>
                  </w:r>
                </w:p>
                <w:p w:rsidR="005A5350" w:rsidRDefault="005A5350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1.3 DOCUMENTOS PARA APROVAÇÃO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Informações do produto: Para cada tipo de produto indicado. Incluir capacidades nominais, perda de carga, curvas de desempenho com pontos selecionados indicados, especialidades fornecidas e acessórios.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Desenhos de fábrica: Conjunto completo de desenhos de montagem dos equipamentos, painéis de controle, seções e elevações e isolamento da unidade. Inclua o seguinte: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Dimensões do equipamento montado.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Peso e distribuição de carga.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3. Espaços necessários para manutenção e operação.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4. Dimensões e posições de conexões hidráulicas e fiação.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5. Diagramas elétricos: Para diagramas elétricos de controle, sinal e força. Diferencie entre o diagrama elétrico instalado em campo e o instalado pelo fabricante.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C. Dados de operação e manutenção: Cada equipamento deve incluir manual de operação e manutenção.</w:t>
                  </w:r>
                </w:p>
                <w:p w:rsidR="005A5350" w:rsidRDefault="005A5350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1.4 GARANTIA DA QUALIDADE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Verificação de desempenho: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 performance térmica deve ser certificada pelo Cooling Technology Institute (CTI) conforme o Programa de Certificação CTI STD-201. Sem essa certificação, um teste de performance em campo deve ser realizado dentro do período de garantia de acordo com a norma de Teste de Aceitação CTI ATC-105, por uma empresa especializada com Certificação CTI. O equipamento de troca de calor evaporativo deve cumprir os requisitos de eficiência energética do Padrão ASHRAE 90.1.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Os níveis sonoros do equipamento devem ser testados de acordo com a norma CTI ATC-128. Os níveis sonoros não devem exceder àqueles especificados.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O equipamento deve atender ou exceder a eficiência energética conforme a ASHRAE 90.1</w:t>
                  </w:r>
                </w:p>
                <w:p w:rsidR="005A5350" w:rsidRDefault="005A5350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1.5 GARANTIA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Enviar garantia escrita pelo fabricante, concordando em reparar ou substituir componentes do equipamento com falhas de materiais e mão de obra dentro do período de garantia especificado.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equipamento completo deve ter uma garantia abrangente de dezoito (18) meses contra defeitos de materiais e mão de obra contados a partir do start-up, não excedendo vinte e quatro (24) meses da data de emissão da NF.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Sistema de transmissão/motor do ventilador: o período de garantia será de Dois (2) anos a partir da data do faturamento (motores do ventilador, ventiladores, mancais, suporte mecânico, polias, buchas e correias).</w:t>
                  </w:r>
                </w:p>
                <w:p w:rsidR="005A5350" w:rsidRDefault="005A5350">
                  <w:pPr>
                    <w:pStyle w:val="level1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PART 2 - PRODUTOS</w:t>
                  </w:r>
                </w:p>
                <w:p w:rsidR="005A5350" w:rsidRDefault="005A5350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2.1 FABRICANTES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Fabricantes: Sujeito ao cumprimento dos requisitos, fornecer torres de resfriamento fabricadas por uma das opções a seguir: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EVAPCO Modelo AT 110-2K12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Substituto aprovado</w:t>
                  </w:r>
                </w:p>
                <w:p w:rsidR="005A5350" w:rsidRDefault="005A5350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2.2 PERFORMANCE TÉRMICA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Cada equipamento deve ser capaz de resfriar 57.7 LPS de água entrando a 35.0° C e saindo a 29.4° C com temperatura de bulbo úmido de entrada de projeto de 25.6° C.</w:t>
                  </w:r>
                </w:p>
                <w:p w:rsidR="005A5350" w:rsidRDefault="005A5350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2.3 CONFORMIDADE COM IBC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A estrutura da unidade deve ser projetada, analisada e construída de acordo com a mais recente edição do International Building Code (IBC) para: IP = 1.0, SDS = 1.34; z/h = 0, P = 5.7 kPa.</w:t>
                  </w:r>
                </w:p>
                <w:p w:rsidR="005A5350" w:rsidRDefault="005A5350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2.4 COMPONENTES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Descrição: torre de resfriamento em contracorrente com tiragem induzida montada e testada em fábrica, completa com ventilador, enchimento, louvers, acessórios e suportes de içamento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Materiais de construção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Todos os componentes de bacia da água resfriada, incluindo suportes verticais, quadros dos louvers de entrada de ar e painéis até a orelha de içamento, devem ser construídos com chapa de boa espessura de aço galvanizado a quente.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O módulo superior, o tubo de distribuição e os suportes angulares devem ser construídos com aço galvanizado a quente e em chapa grossa. O bocal e a proteção do ventilador devem ser construídas com aço galvanizado. Todo o aço galvanizado deve ser revestido com no mínimo, 725 grams de zinco por medidor quadrado da área (designação Z-725 Hot-Dip Galvanized Steel). Durante a fabricação, todas as bordas do painel de aço galvanizado devem ser revestidas com um composto rico em zinco puro a 95%.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C. Ventiladores: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ventiladores devem ser do tipo axial de alta eficiência com construção de pás largas em alumínio. Cada ventilador deve ser balanceado dinamicamente e instalado em um bocal com mínima folga com entrada de ar tipo venturi para obter a máxima eficiência do ventilador.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D. Eliminadores de gotas</w:t>
                  </w:r>
                </w:p>
                <w:p w:rsidR="005A5350" w:rsidRPr="00A430F6" w:rsidRDefault="005A5350">
                  <w:pPr>
                    <w:pStyle w:val="level4"/>
                    <w:rPr>
                      <w:rFonts w:ascii="Calibri'" w:hAnsi="Calibri'" w:cs="Calibri'"/>
                      <w:lang w:val="en-GB"/>
                    </w:rPr>
                  </w:pPr>
                  <w:r>
                    <w:rPr>
                      <w:rFonts w:ascii="Calibri'" w:hAnsi="Calibri'" w:cs="Calibri'"/>
                    </w:rPr>
                    <w:t xml:space="preserve">1. Os eliminadores de gotas devem ser construídos inteiramente em Policloreto de Vinila (PVC) em seções facilmente removíveis. O projeto deve incorporar três mudanças no sentido do ar e limitar a perda de água por arraste a no máximo 0,001% da vazão de água de recirculação. </w:t>
                  </w:r>
                  <w:r w:rsidRPr="00A430F6">
                    <w:rPr>
                      <w:rFonts w:ascii="Calibri'" w:hAnsi="Calibri'" w:cs="Calibri'"/>
                      <w:lang w:val="en-GB"/>
                    </w:rPr>
                    <w:t>Drift eliminators shall be self-extinguishing, have a flame spread of less than 25 under ASTM E84, and shall be resistant to rot, decay and biological attack.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E. Sistema de distribuição de água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bicos de aspersão possuem grande orifício, são produzidos em ABS injetados com precisão que utilizam tecnologia fluídica para melhor distribuição de água sobre o enchimento. Os bicos são projetados para minimizar a manutenção do sistema de distribuição de água. O tubo distribuidor central é fabricado em aço galvanizado com uma conexão para interligar a tubulação externa e as ramificações são de Policloreto de Vinila Clorado (CPVC) Schedule 40.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F. Superfície de troca térmica</w:t>
                  </w:r>
                </w:p>
                <w:p w:rsidR="005A5350" w:rsidRPr="00A430F6" w:rsidRDefault="005A5350">
                  <w:pPr>
                    <w:pStyle w:val="level4"/>
                    <w:rPr>
                      <w:rFonts w:ascii="Calibri'" w:hAnsi="Calibri'" w:cs="Calibri'"/>
                      <w:lang w:val="en-GB"/>
                    </w:rPr>
                  </w:pPr>
                  <w:r>
                    <w:rPr>
                      <w:rFonts w:ascii="Calibri'" w:hAnsi="Calibri'" w:cs="Calibri'"/>
                    </w:rPr>
                    <w:t xml:space="preserve">1. O enchimento deve ser construído com Policloreto de Vinila (PVC) com canais cruzados e adequado para temperaturas de entrada de água de até 54.4° C. O blocos colados de enchimento devem ser suportados por baixo e também servir como uma plataforma de trabalho interna. </w:t>
                  </w:r>
                  <w:r w:rsidRPr="00A430F6">
                    <w:rPr>
                      <w:rFonts w:ascii="Calibri'" w:hAnsi="Calibri'" w:cs="Calibri'"/>
                      <w:lang w:val="en-GB"/>
                    </w:rPr>
                    <w:t>Fill shall be self-extinguishing, have a flame spread of less than 25 under ASTM E84, and shall be resistant to rot, decay and biological attack.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G. Louvers de entrada de ar</w:t>
                  </w:r>
                </w:p>
                <w:p w:rsidR="005A5350" w:rsidRPr="00A430F6" w:rsidRDefault="005A5350">
                  <w:pPr>
                    <w:pStyle w:val="level4"/>
                    <w:rPr>
                      <w:rFonts w:ascii="Calibri'" w:hAnsi="Calibri'" w:cs="Calibri'"/>
                      <w:lang w:val="en-GB"/>
                    </w:rPr>
                  </w:pPr>
                  <w:r>
                    <w:rPr>
                      <w:rFonts w:ascii="Calibri'" w:hAnsi="Calibri'" w:cs="Calibri'"/>
                    </w:rPr>
                    <w:t xml:space="preserve">1. Os louvers de entrada de ar devem ser construídos com Policloreto de Vinila (PVC) com inibidor UV e incorporar um quadro que permite sua fácil remoção para acesso a toda a área da bacia para manutenção. Os louvers devem ter no mínimo duas mudanças na direção do ar e devem ser não planos para evitar respingos, eliminar a entrada de luz solar direta e reduzir a entrada de detritos na bacia. </w:t>
                  </w:r>
                  <w:r w:rsidRPr="00A430F6">
                    <w:rPr>
                      <w:rFonts w:ascii="Calibri'" w:hAnsi="Calibri'" w:cs="Calibri'"/>
                      <w:lang w:val="en-GB"/>
                    </w:rPr>
                    <w:t>Air inlet louvers shall be self-extinguishing, have a flame spread of less than 25 under ASTM E84, and shall be resistant to rot, decay and biological attack.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H. Conjunto da válvula boia de reposição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conjunto da válvula boia de reposição deve ser composto de uma válvula de latão e uma boia de plástico ajustável.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I. Filtro da bacia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Todos os filtros da bacia devem ser construídos em Aço inoxidável tipo 304com grande área de telas perfuradas removíveis.</w:t>
                  </w:r>
                </w:p>
                <w:p w:rsidR="005A5350" w:rsidRDefault="005A5350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2.5 MOTORES E TRANSMISSÕES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Os requisitos gerais para motores estão especificados na divisão 23 da seção "Motores"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Motor do ventilador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motores do ventilador devem ser totalmente fechados, motores elétricos de mancal com rolamento de esferas adequados para o serviço em ar úmido. Os motores terão classe de eficiência IE3 em conformidade com o (CE) nº 640/2009; Classe F isolada, projeto de fator de serviço 1,0. Os motores adequados para aplicações de torque variável e faixa de velocidade de torque constante com inversores de frequência variável adequadamente dimensionados e ajustados.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C. Acionamento do ventilador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acionamento do ventilador deve ser por correias em V tipo “Power Band” e com buchas cônicas QD, projetado para 150% da potência nominal do motor. O material da correia deve ser neoprene reforçado com poliéster e projetado especificamente para o serviço em equipamentos evaporativos. A polia motora deve ser de liga de alumínio. O ajuste da correia deve ser realizado pela parte externa do equipamento.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D. Eixo do ventilador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eixo do ventilador deve ser de aço maciço, retificado e polido. A superfície exposta deve ser revestida contra corrosão.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E. Mancais do ventilador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mancais do ventilador devem ser do tipo de esferas auto alinháveis e próprio para trabalhos pesados, com linhas de lubrificação estendidas localizados próxima à porta de acesso. Os mancais devem ser projetados para uma vida útil mínima L-10 de 100.000 horas.</w:t>
                  </w:r>
                </w:p>
                <w:p w:rsidR="005A5350" w:rsidRDefault="005A5350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2.6 ACESSO PARA MANUTENÇÃO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Seção do ventilador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 porta de acesso deve ser articulada e localizada na seção do ventilador para o acesso ao sistema de distribuição de água e ao acionamento do ventilador.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Bacia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louvers devem estar em todos os quatro (4) lados da unidade para o acesso a bacia.</w:t>
                  </w:r>
                </w:p>
                <w:p w:rsidR="005A5350" w:rsidRDefault="005A5350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C. Plataforma de trabalho interna</w:t>
                  </w:r>
                </w:p>
                <w:p w:rsidR="005A5350" w:rsidRDefault="005A5350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Uma plataforma de trabalho interna deve oferecer acesso fácil aos ventiladores, correias, motores, polias, mancais, todas as partes mecânicas e sistema de distribuição de água. O enchimento deve ser um meio aceitável para acessar esses componentes.</w:t>
                  </w:r>
                </w:p>
              </w:tc>
            </w:tr>
          </w:tbl>
          <w:p w:rsidR="005A5350" w:rsidRDefault="005A5350"/>
        </w:tc>
      </w:tr>
    </w:tbl>
    <w:p w:rsidR="005A5350" w:rsidRDefault="005A5350"/>
    <w:sectPr w:rsidR="005A5350" w:rsidSect="00F47B7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'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B7F"/>
    <w:rsid w:val="0011402B"/>
    <w:rsid w:val="005A5350"/>
    <w:rsid w:val="00A430F6"/>
    <w:rsid w:val="00F47B7F"/>
    <w:rsid w:val="00FB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B7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0">
    <w:name w:val="level0"/>
    <w:basedOn w:val="Normal"/>
    <w:uiPriority w:val="99"/>
    <w:rsid w:val="00F47B7F"/>
    <w:pPr>
      <w:spacing w:before="100" w:beforeAutospacing="1" w:after="100" w:afterAutospacing="1"/>
      <w:jc w:val="center"/>
    </w:pPr>
    <w:rPr>
      <w:b/>
      <w:bCs/>
    </w:rPr>
  </w:style>
  <w:style w:type="paragraph" w:customStyle="1" w:styleId="level1">
    <w:name w:val="level1"/>
    <w:basedOn w:val="Normal"/>
    <w:uiPriority w:val="99"/>
    <w:rsid w:val="00F47B7F"/>
    <w:pPr>
      <w:spacing w:before="100" w:beforeAutospacing="1" w:after="100" w:afterAutospacing="1"/>
    </w:pPr>
  </w:style>
  <w:style w:type="paragraph" w:customStyle="1" w:styleId="level10">
    <w:name w:val="level10"/>
    <w:basedOn w:val="Normal"/>
    <w:uiPriority w:val="99"/>
    <w:rsid w:val="00F47B7F"/>
    <w:pPr>
      <w:spacing w:before="100" w:beforeAutospacing="1" w:after="100" w:afterAutospacing="1"/>
      <w:ind w:left="2700"/>
    </w:pPr>
  </w:style>
  <w:style w:type="paragraph" w:customStyle="1" w:styleId="level2">
    <w:name w:val="level2"/>
    <w:basedOn w:val="Normal"/>
    <w:uiPriority w:val="99"/>
    <w:rsid w:val="00F47B7F"/>
    <w:pPr>
      <w:spacing w:before="100" w:beforeAutospacing="1" w:after="100" w:afterAutospacing="1"/>
      <w:ind w:left="300"/>
    </w:pPr>
  </w:style>
  <w:style w:type="paragraph" w:customStyle="1" w:styleId="level3">
    <w:name w:val="level3"/>
    <w:basedOn w:val="Normal"/>
    <w:uiPriority w:val="99"/>
    <w:rsid w:val="00F47B7F"/>
    <w:pPr>
      <w:spacing w:before="100" w:beforeAutospacing="1" w:after="100" w:afterAutospacing="1"/>
      <w:ind w:left="600"/>
    </w:pPr>
  </w:style>
  <w:style w:type="paragraph" w:customStyle="1" w:styleId="level4">
    <w:name w:val="level4"/>
    <w:basedOn w:val="Normal"/>
    <w:uiPriority w:val="99"/>
    <w:rsid w:val="00F47B7F"/>
    <w:pPr>
      <w:spacing w:before="100" w:beforeAutospacing="1" w:after="100" w:afterAutospacing="1"/>
      <w:ind w:left="900"/>
    </w:pPr>
  </w:style>
  <w:style w:type="paragraph" w:customStyle="1" w:styleId="level5">
    <w:name w:val="level5"/>
    <w:basedOn w:val="Normal"/>
    <w:uiPriority w:val="99"/>
    <w:rsid w:val="00F47B7F"/>
    <w:pPr>
      <w:spacing w:before="100" w:beforeAutospacing="1" w:after="100" w:afterAutospacing="1"/>
      <w:ind w:left="1200"/>
    </w:pPr>
  </w:style>
  <w:style w:type="paragraph" w:customStyle="1" w:styleId="level6">
    <w:name w:val="level6"/>
    <w:basedOn w:val="Normal"/>
    <w:uiPriority w:val="99"/>
    <w:rsid w:val="00F47B7F"/>
    <w:pPr>
      <w:spacing w:before="100" w:beforeAutospacing="1" w:after="100" w:afterAutospacing="1"/>
      <w:ind w:left="1500"/>
    </w:pPr>
  </w:style>
  <w:style w:type="paragraph" w:customStyle="1" w:styleId="level7">
    <w:name w:val="level7"/>
    <w:basedOn w:val="Normal"/>
    <w:uiPriority w:val="99"/>
    <w:rsid w:val="00F47B7F"/>
    <w:pPr>
      <w:spacing w:before="100" w:beforeAutospacing="1" w:after="100" w:afterAutospacing="1"/>
      <w:ind w:left="1800"/>
    </w:pPr>
  </w:style>
  <w:style w:type="paragraph" w:customStyle="1" w:styleId="level8">
    <w:name w:val="level8"/>
    <w:basedOn w:val="Normal"/>
    <w:uiPriority w:val="99"/>
    <w:rsid w:val="00F47B7F"/>
    <w:pPr>
      <w:spacing w:before="100" w:beforeAutospacing="1" w:after="100" w:afterAutospacing="1"/>
      <w:ind w:left="2100"/>
    </w:pPr>
  </w:style>
  <w:style w:type="paragraph" w:customStyle="1" w:styleId="level9">
    <w:name w:val="level9"/>
    <w:basedOn w:val="Normal"/>
    <w:uiPriority w:val="99"/>
    <w:rsid w:val="00F47B7F"/>
    <w:pPr>
      <w:spacing w:before="100" w:beforeAutospacing="1" w:after="100" w:afterAutospacing="1"/>
      <w:ind w:left="2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1384</Words>
  <Characters>7479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António</cp:lastModifiedBy>
  <cp:revision>2</cp:revision>
  <dcterms:created xsi:type="dcterms:W3CDTF">2019-12-20T12:50:00Z</dcterms:created>
  <dcterms:modified xsi:type="dcterms:W3CDTF">2019-12-20T12:51:00Z</dcterms:modified>
</cp:coreProperties>
</file>